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60"/>
      </w:pPr>
      <w:r>
        <w:rPr>
          <w:b/>
          <w:bCs/>
          <w:color w:val="0F172A"/>
          <w:sz w:val="36"/>
          <w:szCs w:val="36"/>
        </w:rPr>
        <w:t xml:space="preserve">RakshEx Enterprise Service Level Agreement</w:t>
      </w:r>
    </w:p>
    <w:p>
      <w:pPr>
        <w:spacing w:after="160"/>
      </w:pPr>
      <w:r>
        <w:rPr>
          <w:sz w:val="21"/>
          <w:szCs w:val="21"/>
        </w:rPr>
        <w:t xml:space="preserve">Effective date: 12 July 2026</w:t>
      </w:r>
    </w:p>
    <w:p>
      <w:pPr>
        <w:spacing w:after="160"/>
      </w:pPr>
      <w:r>
        <w:rPr>
          <w:sz w:val="21"/>
          <w:szCs w:val="21"/>
        </w:rPr>
        <w:t xml:space="preserve">This SLA applies only when an Order Form expressly incorporates it. Free, trial, preview, beta, community, self-hosted, and third-party provider services are excluded unless the Order Form says otherwise.</w:t>
      </w:r>
    </w:p>
    <w:p>
      <w:pPr>
        <w:pStyle w:val="Heading1"/>
        <w:spacing w:after="140" w:before="260"/>
      </w:pPr>
      <w:r>
        <w:rPr>
          <w:b/>
          <w:bCs/>
          <w:color w:val="0F766E"/>
          <w:sz w:val="27"/>
          <w:szCs w:val="27"/>
        </w:rPr>
        <w:t xml:space="preserve">1. Service Commitment</w:t>
      </w:r>
    </w:p>
    <w:p>
      <w:pPr>
        <w:spacing w:after="160"/>
      </w:pPr>
      <w:r>
        <w:rPr>
          <w:sz w:val="21"/>
          <w:szCs w:val="21"/>
        </w:rPr>
        <w:t xml:space="preserve">For the hosted RakshEx control plane, Processor targets 99.9% monthly uptime. Monthly uptime is the percentage of minutes in a calendar month during which the production Service is available for Customer's authorised requests, excluding scheduled maintenance and exclusions below.</w:t>
      </w:r>
    </w:p>
    <w:p>
      <w:pPr>
        <w:spacing w:after="160"/>
      </w:pPr>
      <w:r>
        <w:rPr>
          <w:sz w:val="21"/>
          <w:szCs w:val="21"/>
        </w:rPr>
        <w:t xml:space="preserve">This SLA is a service-credit remedy, not a warranty of uninterrupted Service. Customer must report a suspected outage through support@rakshex.in with workspace, time, impact, and contact details within 10 business days after the month in which it occurred.</w:t>
      </w:r>
    </w:p>
    <w:p>
      <w:pPr>
        <w:pStyle w:val="Heading1"/>
        <w:spacing w:after="140" w:before="260"/>
      </w:pPr>
      <w:r>
        <w:rPr>
          <w:b/>
          <w:bCs/>
          <w:color w:val="0F766E"/>
          <w:sz w:val="27"/>
          <w:szCs w:val="27"/>
        </w:rPr>
        <w:t xml:space="preserve">2. Support Response Targets</w:t>
      </w:r>
    </w:p>
    <w:p>
      <w:pPr>
        <w:spacing w:after="160"/>
        <w:ind w:left="360"/>
      </w:pPr>
      <w:r>
        <w:rPr>
          <w:sz w:val="21"/>
          <w:szCs w:val="21"/>
        </w:rPr>
        <w:t xml:space="preserve">Severity | Description | Initial response target | Update target</w:t>
      </w:r>
    </w:p>
    <w:p>
      <w:pPr>
        <w:spacing w:after="160"/>
        <w:ind w:left="360"/>
      </w:pPr>
      <w:r>
        <w:rPr>
          <w:sz w:val="21"/>
          <w:szCs w:val="21"/>
        </w:rPr>
        <w:t xml:space="preserve">P1 | Production Service unavailable for all Customer users, confirmed security incident, or active loss of protected data | 4 hours, 24x7 | Every 4 hours while active</w:t>
      </w:r>
    </w:p>
    <w:p>
      <w:pPr>
        <w:spacing w:after="160"/>
        <w:ind w:left="360"/>
      </w:pPr>
      <w:r>
        <w:rPr>
          <w:sz w:val="21"/>
          <w:szCs w:val="21"/>
        </w:rPr>
        <w:t xml:space="preserve">P2 | Material production function unavailable with a workaround or limited user impact | 1 business day | Every business day</w:t>
      </w:r>
    </w:p>
    <w:p>
      <w:pPr>
        <w:spacing w:after="160"/>
        <w:ind w:left="360"/>
      </w:pPr>
      <w:r>
        <w:rPr>
          <w:sz w:val="21"/>
          <w:szCs w:val="21"/>
        </w:rPr>
        <w:t xml:space="preserve">P3 | Non-critical defect, question, or degraded feature | 2 business days | Every 5 business days</w:t>
      </w:r>
    </w:p>
    <w:p>
      <w:pPr>
        <w:spacing w:after="160"/>
        <w:ind w:left="360"/>
      </w:pPr>
      <w:r>
        <w:rPr>
          <w:sz w:val="21"/>
          <w:szCs w:val="21"/>
        </w:rPr>
        <w:t xml:space="preserve">P4 | Feature request, documentation, or advisory request | 5 business days | At planned review</w:t>
      </w:r>
    </w:p>
    <w:p>
      <w:pPr>
        <w:spacing w:after="160"/>
      </w:pPr>
      <w:r>
        <w:rPr>
          <w:sz w:val="21"/>
          <w:szCs w:val="21"/>
        </w:rPr>
        <w:t xml:space="preserve">Response targets are not resolution commitments. Customer must provide reasonable diagnostic information and a reachable technical contact.</w:t>
      </w:r>
    </w:p>
    <w:p>
      <w:pPr>
        <w:pStyle w:val="Heading1"/>
        <w:spacing w:after="140" w:before="260"/>
      </w:pPr>
      <w:r>
        <w:rPr>
          <w:b/>
          <w:bCs/>
          <w:color w:val="0F766E"/>
          <w:sz w:val="27"/>
          <w:szCs w:val="27"/>
        </w:rPr>
        <w:t xml:space="preserve">3. Service Credits</w:t>
      </w:r>
    </w:p>
    <w:p>
      <w:pPr>
        <w:spacing w:after="160"/>
        <w:ind w:left="360"/>
      </w:pPr>
      <w:r>
        <w:rPr>
          <w:sz w:val="21"/>
          <w:szCs w:val="21"/>
        </w:rPr>
        <w:t xml:space="preserve">Monthly uptime | Credit</w:t>
      </w:r>
    </w:p>
    <w:p>
      <w:pPr>
        <w:spacing w:after="160"/>
        <w:ind w:left="360"/>
      </w:pPr>
      <w:r>
        <w:rPr>
          <w:sz w:val="21"/>
          <w:szCs w:val="21"/>
        </w:rPr>
        <w:t xml:space="preserve">99.0% to less than 99.9% | 5% of affected monthly recurring fee</w:t>
      </w:r>
    </w:p>
    <w:p>
      <w:pPr>
        <w:spacing w:after="160"/>
        <w:ind w:left="360"/>
      </w:pPr>
      <w:r>
        <w:rPr>
          <w:sz w:val="21"/>
          <w:szCs w:val="21"/>
        </w:rPr>
        <w:t xml:space="preserve">95.0% to less than 99.0% | 10% of affected monthly recurring fee</w:t>
      </w:r>
    </w:p>
    <w:p>
      <w:pPr>
        <w:spacing w:after="160"/>
        <w:ind w:left="360"/>
      </w:pPr>
      <w:r>
        <w:rPr>
          <w:sz w:val="21"/>
          <w:szCs w:val="21"/>
        </w:rPr>
        <w:t xml:space="preserve">Less than 95.0% | 25% of affected monthly recurring fee</w:t>
      </w:r>
    </w:p>
    <w:p>
      <w:pPr>
        <w:spacing w:after="160"/>
      </w:pPr>
      <w:r>
        <w:rPr>
          <w:sz w:val="21"/>
          <w:szCs w:val="21"/>
        </w:rPr>
        <w:t xml:space="preserve">Credits are applied to a future invoice and are capped at 25% of the affected monthly recurring fee. Customer must request a credit within 30 days after the relevant month. This SLA's credits are Customer's sole remedy for an SLA failure, subject to mandatory law.</w:t>
      </w:r>
    </w:p>
    <w:p>
      <w:pPr>
        <w:pStyle w:val="Heading1"/>
        <w:spacing w:after="140" w:before="260"/>
      </w:pPr>
      <w:r>
        <w:rPr>
          <w:b/>
          <w:bCs/>
          <w:color w:val="0F766E"/>
          <w:sz w:val="27"/>
          <w:szCs w:val="27"/>
        </w:rPr>
        <w:t xml:space="preserve">4. Exclusions</w:t>
      </w:r>
    </w:p>
    <w:p>
      <w:pPr>
        <w:spacing w:after="160"/>
      </w:pPr>
      <w:r>
        <w:rPr>
          <w:sz w:val="21"/>
          <w:szCs w:val="21"/>
        </w:rPr>
        <w:t xml:space="preserve">Downtime does not include planned maintenance with at least 72 hours' notice when practicable; emergency maintenance; Customer configuration, credentials, code, network, or provider accounts; Customer-selected third-party AI providers; force majeure; acts of attackers outside RakshEx reasonable control; suspension under the Terms; private relay or self-hosted infrastructure controlled by Customer; and use outside documentation or plan limits.</w:t>
      </w:r>
    </w:p>
    <w:p>
      <w:pPr>
        <w:pStyle w:val="Heading1"/>
        <w:spacing w:after="140" w:before="260"/>
      </w:pPr>
      <w:r>
        <w:rPr>
          <w:b/>
          <w:bCs/>
          <w:color w:val="0F766E"/>
          <w:sz w:val="27"/>
          <w:szCs w:val="27"/>
        </w:rPr>
        <w:t xml:space="preserve">5. Measurement and Changes</w:t>
      </w:r>
    </w:p>
    <w:p>
      <w:pPr>
        <w:spacing w:after="160"/>
      </w:pPr>
      <w:r>
        <w:rPr>
          <w:sz w:val="21"/>
          <w:szCs w:val="21"/>
        </w:rPr>
        <w:t xml:space="preserve">RakshEx operational records determine uptime, subject to Customer's reasonable evidence. We may improve monitoring and support processes. A material reduction to this SLA during a paid term requires written agreement or renewal notice. Contact support@rakshex.in for an SLA report or incident review.</w:t>
      </w:r>
    </w:p>
    <w:p>
      <w:pPr>
        <w:pStyle w:val="Heading1"/>
        <w:spacing w:after="140" w:before="260"/>
      </w:pPr>
      <w:r>
        <w:rPr>
          <w:b/>
          <w:bCs/>
          <w:color w:val="0F766E"/>
          <w:sz w:val="27"/>
          <w:szCs w:val="27"/>
        </w:rPr>
        <w:t xml:space="preserve">Signature Block</w:t>
      </w:r>
    </w:p>
    <w:p>
      <w:pPr>
        <w:spacing w:after="160"/>
      </w:pPr>
      <w:r>
        <w:rPr>
          <w:sz w:val="21"/>
          <w:szCs w:val="21"/>
        </w:rPr>
        <w:t xml:space="preserve">Customer legal name: ______________________________</w:t>
      </w:r>
    </w:p>
    <w:p>
      <w:pPr>
        <w:spacing w:after="160"/>
      </w:pPr>
      <w:r>
        <w:rPr>
          <w:sz w:val="21"/>
          <w:szCs w:val="21"/>
        </w:rPr>
        <w:t xml:space="preserve">Order Form number: ______________________________</w:t>
      </w:r>
    </w:p>
    <w:p>
      <w:pPr>
        <w:spacing w:after="160"/>
      </w:pPr>
      <w:r>
        <w:rPr>
          <w:sz w:val="21"/>
          <w:szCs w:val="21"/>
        </w:rPr>
        <w:t xml:space="preserve">Authorised signatory: ______________________________</w:t>
      </w:r>
    </w:p>
    <w:p>
      <w:pPr>
        <w:spacing w:after="160"/>
      </w:pPr>
      <w:r>
        <w:rPr>
          <w:sz w:val="21"/>
          <w:szCs w:val="21"/>
        </w:rPr>
        <w:t xml:space="preserve">Date: ______________________________</w:t>
      </w:r>
    </w:p>
    <w:sectPr>
      <w:footerReference w:type="default" r:id="rId7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8"/>
        <w:szCs w:val="18"/>
      </w:rPr>
      <w:t xml:space="preserve">RakshEx | Legal document | Page </w:t>
    </w:r>
    <w:r>
      <w:rPr>
        <w:color w:val="64748B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RakshEx Enterprise Service Level Agreement</dc:title>
  <dc:creator>RakshEx</dc:creator>
  <cp:lastModifiedBy>Un-named</cp:lastModifiedBy>
  <cp:revision>1</cp:revision>
  <dcterms:created xsi:type="dcterms:W3CDTF">2026-07-12T17:45:17.099Z</dcterms:created>
  <dcterms:modified xsi:type="dcterms:W3CDTF">2026-07-12T17:45:17.099Z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