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60"/>
      </w:pPr>
      <w:r>
        <w:rPr>
          <w:b/>
          <w:bCs/>
          <w:color w:val="0F172A"/>
          <w:sz w:val="36"/>
          <w:szCs w:val="36"/>
        </w:rPr>
        <w:t xml:space="preserve">RakshEx Subprocessor Register</w:t>
      </w:r>
    </w:p>
    <w:p>
      <w:pPr>
        <w:spacing w:after="160"/>
      </w:pPr>
      <w:r>
        <w:rPr>
          <w:sz w:val="21"/>
          <w:szCs w:val="21"/>
        </w:rPr>
        <w:t xml:space="preserve">Version: 2026-07-12</w:t>
      </w:r>
    </w:p>
    <w:p>
      <w:pPr>
        <w:spacing w:after="160"/>
      </w:pPr>
      <w:r>
        <w:rPr>
          <w:sz w:val="21"/>
          <w:szCs w:val="21"/>
        </w:rPr>
        <w:t xml:space="preserve">This register identifies categories of service providers that may process Customer Personal Data for the hosted Service. A row marked "conditional" is used only if the relevant feature is configured. The production owner must update status, processing region, and effective date before enabling a provider.</w:t>
      </w:r>
    </w:p>
    <w:p>
      <w:pPr>
        <w:spacing w:after="160"/>
        <w:ind w:left="360"/>
      </w:pPr>
      <w:r>
        <w:rPr>
          <w:sz w:val="21"/>
          <w:szCs w:val="21"/>
        </w:rPr>
        <w:t xml:space="preserve">Provider or category | Purpose | Data categories | Region | Status</w:t>
      </w:r>
    </w:p>
    <w:p>
      <w:pPr>
        <w:spacing w:after="160"/>
        <w:ind w:left="360"/>
      </w:pPr>
      <w:r>
        <w:rPr>
          <w:sz w:val="21"/>
          <w:szCs w:val="21"/>
        </w:rPr>
        <w:t xml:space="preserve">Railway | Hosted API, PostgreSQL, Redis, private service networking | Account, workspace, encrypted credentials, audit and usage metadata | United States region selected for current service | Active</w:t>
      </w:r>
    </w:p>
    <w:p>
      <w:pPr>
        <w:spacing w:after="160"/>
        <w:ind w:left="360"/>
      </w:pPr>
      <w:r>
        <w:rPr>
          <w:sz w:val="21"/>
          <w:szCs w:val="21"/>
        </w:rPr>
        <w:t xml:space="preserve">Vercel or equivalent frontend host | Website and dashboard delivery | Browser requests, static assets, optional account-session traffic | To be confirmed before production frontend cutover | Conditional</w:t>
      </w:r>
    </w:p>
    <w:p>
      <w:pPr>
        <w:spacing w:after="160"/>
        <w:ind w:left="360"/>
      </w:pPr>
      <w:r>
        <w:rPr>
          <w:sz w:val="21"/>
          <w:szCs w:val="21"/>
        </w:rPr>
        <w:t xml:space="preserve">Stripe | Global payment processing | Billing contact and payment transaction references | Provider-configured | Conditional</w:t>
      </w:r>
    </w:p>
    <w:p>
      <w:pPr>
        <w:spacing w:after="160"/>
        <w:ind w:left="360"/>
      </w:pPr>
      <w:r>
        <w:rPr>
          <w:sz w:val="21"/>
          <w:szCs w:val="21"/>
        </w:rPr>
        <w:t xml:space="preserve">Razorpay | India payment processing | Billing contact and payment transaction references | India / provider-configured | Conditional</w:t>
      </w:r>
    </w:p>
    <w:p>
      <w:pPr>
        <w:spacing w:after="160"/>
        <w:ind w:left="360"/>
      </w:pPr>
      <w:r>
        <w:rPr>
          <w:sz w:val="21"/>
          <w:szCs w:val="21"/>
        </w:rPr>
        <w:t xml:space="preserve">Transactional email provider | Account verification, alerts, invoices, support email | Email address, name, workspace and event metadata | To be selected | Conditional</w:t>
      </w:r>
    </w:p>
    <w:p>
      <w:pPr>
        <w:spacing w:after="160"/>
        <w:ind w:left="360"/>
      </w:pPr>
      <w:r>
        <w:rPr>
          <w:sz w:val="21"/>
          <w:szCs w:val="21"/>
        </w:rPr>
        <w:t xml:space="preserve">Google | Optional OAuth sign-in | OAuth identifier, email, profile data authorised by user | Provider-configured | Conditional</w:t>
      </w:r>
    </w:p>
    <w:p>
      <w:pPr>
        <w:spacing w:after="160"/>
        <w:ind w:left="360"/>
      </w:pPr>
      <w:r>
        <w:rPr>
          <w:sz w:val="21"/>
          <w:szCs w:val="21"/>
        </w:rPr>
        <w:t xml:space="preserve">GitHub | Optional App, OAuth, Copilot governance, and source-control integrations | Installation, organisation, repository, user and authorised audit metadata | Provider-configured | Conditional</w:t>
      </w:r>
    </w:p>
    <w:p>
      <w:pPr>
        <w:spacing w:after="160"/>
        <w:ind w:left="360"/>
      </w:pPr>
      <w:r>
        <w:rPr>
          <w:sz w:val="21"/>
          <w:szCs w:val="21"/>
        </w:rPr>
        <w:t xml:space="preserve">Sentry or equivalent | Error monitoring and diagnostics | Pseudonymous technical diagnostics; configured PII scrubbing required | To be selected | Conditional</w:t>
      </w:r>
    </w:p>
    <w:p>
      <w:pPr>
        <w:spacing w:after="160"/>
        <w:ind w:left="360"/>
      </w:pPr>
      <w:r>
        <w:rPr>
          <w:sz w:val="21"/>
          <w:szCs w:val="21"/>
        </w:rPr>
        <w:t xml:space="preserve">Crisp or equivalent | Optional support chat | Visitor messages and contact information | To be selected; consent required | Conditional</w:t>
      </w:r>
    </w:p>
    <w:p>
      <w:pPr>
        <w:spacing w:after="160"/>
        <w:ind w:left="360"/>
      </w:pPr>
      <w:r>
        <w:rPr>
          <w:sz w:val="21"/>
          <w:szCs w:val="21"/>
        </w:rPr>
        <w:t xml:space="preserve">Customer-selected AI, cloud, or identity provider | Provider routing and Customer-authorised discovery | Data directed by Customer, including prompts only when Customer routes them | Customer/provider selected | Customer-directed</w:t>
      </w:r>
    </w:p>
    <w:p>
      <w:pPr>
        <w:pStyle w:val="Heading1"/>
        <w:spacing w:after="140" w:before="260"/>
      </w:pPr>
      <w:r>
        <w:rPr>
          <w:b/>
          <w:bCs/>
          <w:color w:val="0F766E"/>
          <w:sz w:val="27"/>
          <w:szCs w:val="27"/>
        </w:rPr>
        <w:t xml:space="preserve">Change Process</w:t>
      </w:r>
    </w:p>
    <w:p>
      <w:pPr>
        <w:spacing w:after="160"/>
      </w:pPr>
      <w:r>
        <w:rPr>
          <w:sz w:val="21"/>
          <w:szCs w:val="21"/>
        </w:rPr>
        <w:t xml:space="preserve">RakshEx will provide at least 30 days' notice before adding or replacing a material subprocessor that processes Customer Personal Data, except where an urgent security or legal need requires a shorter period. Enterprise Customers may object under the DPA. Contact privacy@rakshex.in for the current register or a completed vendor questionnaire.</w:t>
      </w:r>
    </w:p>
    <w:p>
      <w:pPr>
        <w:pStyle w:val="Heading1"/>
        <w:spacing w:after="140" w:before="260"/>
      </w:pPr>
      <w:r>
        <w:rPr>
          <w:b/>
          <w:bCs/>
          <w:color w:val="0F766E"/>
          <w:sz w:val="27"/>
          <w:szCs w:val="27"/>
        </w:rPr>
        <w:t xml:space="preserve">Customer-Directed Providers</w:t>
      </w:r>
    </w:p>
    <w:p>
      <w:pPr>
        <w:spacing w:after="160"/>
      </w:pPr>
      <w:r>
        <w:rPr>
          <w:sz w:val="21"/>
          <w:szCs w:val="21"/>
        </w:rPr>
        <w:t xml:space="preserve">When Customer connects a provider, Customer controls the account relationship, scopes, and data sent to that provider. Those providers are not RakshEx subprocessors when they independently process data under Customer's direct agreement and instructions.</w:t>
      </w:r>
    </w:p>
    <w:sectPr>
      <w:footerReference w:type="default" r:id="rId7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8"/>
        <w:szCs w:val="18"/>
      </w:rPr>
      <w:t xml:space="preserve">RakshEx | Legal document | Page </w:t>
    </w:r>
    <w:r>
      <w:rPr>
        <w:color w:val="64748B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RakshEx Subprocessor Register</dc:title>
  <dc:creator>RakshEx</dc:creator>
  <cp:lastModifiedBy>Un-named</cp:lastModifiedBy>
  <cp:revision>1</cp:revision>
  <dcterms:created xsi:type="dcterms:W3CDTF">2026-07-12T17:45:17.196Z</dcterms:created>
  <dcterms:modified xsi:type="dcterms:W3CDTF">2026-07-12T17:45:17.196Z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